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BD" w:rsidRPr="009A71BD" w:rsidRDefault="009A71BD" w:rsidP="009A71BD">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9A71BD">
        <w:rPr>
          <w:rFonts w:ascii="Tahoma" w:eastAsia="Times New Roman" w:hAnsi="Tahoma" w:cs="Tahoma"/>
          <w:b/>
          <w:bCs/>
          <w:color w:val="000000"/>
          <w:sz w:val="27"/>
          <w:szCs w:val="27"/>
          <w:lang w:eastAsia="ru-RU"/>
        </w:rPr>
        <w:t>Правила приема грузов к перевозке</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Автотранспортные предприятия принимают к перевозке грузы на основании утвержденных в установленном порядке планов и заключенных годовых договоров на перевозку грузов автомобильным транспортом, а также грузы разового характера.</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На перевозку грузов автомобильным транспортом грузоотправитель представляет в автотранспортное предприятие при наличии годового договора на перевозку грузов автомобильным транспортом соответствующую заявку, а при отсутствии годового договора - разов заказ. Заявка представляется в обусловленные годовым договором на перевозку грузов автомобильным транспортом сроки.</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По согласованию с автотранспортным предприятием грузоотправитель может передать заказ на перевозку груза телефонограммой с сообщением в ней всех обходимых данных.</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Типы и количество автомобилей, необходимых для осуществлен перевозок грузов, определяются автотранспортными предприятиями зависимости от объема и характера перевозок.</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Автотранспортные предприятия обязаны обеспечивать своевременную подачу подвижного состава по всем пунктам погрузки и разгрузки в соответствии с принятыми заявками и разовыми заказами</w:t>
      </w:r>
      <w:r w:rsidRPr="009A71BD">
        <w:rPr>
          <w:rFonts w:ascii="Verdana" w:eastAsia="Times New Roman" w:hAnsi="Verdana" w:cs="Tahoma"/>
          <w:color w:val="000000"/>
          <w:sz w:val="18"/>
          <w:szCs w:val="18"/>
          <w:lang w:eastAsia="ru-RU"/>
        </w:rPr>
        <w:t>, а также подавать грузоотправителям под погрузку исправный подвижной состав в состоянии, пригодном для перевозки данного вида груза и отвечающем санитарным требованиям.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Подача подвижного состава, непригодного для перевозки обусловленного договором груза, приравнивается к неподаче транспорт средств.</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отказе грузоотправителя от поданного автотранспорта, предприятием подвижного состава составляется акт по установленой форме.</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Автотранспортные предприятия в случае неподачи по их вине подвижного состава, предусмотренного месячными планами перевозки грузов, обязаны по требованию грузоотправителей (грузополучателей) выделять подвижной состав для восполнения недогруза в течение следующего месяца данного квартала. Подвижной состав, не поданный в последнем месяце квартала, должен быть выделен в первом месяце следующего квартала. Порядок выделения подвижного состава для восполнения недогруза устанавливается по согласованию между автотранспортным предприятием и грузоотправителем (грузополучателем).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нарушении согласованного порядка автотранспортное предприятие за неподачу подвижного состава, а грузоотправитель (грузополучатель) за непредъявление грузов к перевозке несут предусмотренную договором и Уставом автомобильного транспорта ответственность.</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Автотранспортные предприятия обязаны перевозить грузы по кратчайшему маршруту, открытому для движения автомобильного транспорта, за исключением случаев, когда по дорожным условиям более рациональна перевозка с увеличенным пробегом. Автотранспортные предприятия обязаны при приеме заказа (заявки) поставить грузоотправителя (грузополучателя) в известность об увеличении расстояния перевозки.</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Грузоотправитель обязан до прибытия автомобиля под погрузку:</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lastRenderedPageBreak/>
        <w:t> </w:t>
      </w:r>
    </w:p>
    <w:p w:rsidR="009A71BD" w:rsidRPr="009A71BD" w:rsidRDefault="009A71BD" w:rsidP="009A71BD">
      <w:pPr>
        <w:spacing w:before="60" w:after="105" w:line="240" w:lineRule="auto"/>
        <w:ind w:left="720"/>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Подготовить груз к перевозке (затарить, подгруппировать по грузополучателям), с тем чтобы обеспечить рациональное использование подвижного состава и сохранность груза в пути следования.</w:t>
      </w:r>
    </w:p>
    <w:p w:rsidR="009A71BD" w:rsidRPr="009A71BD" w:rsidRDefault="009A71BD" w:rsidP="009A71BD">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Заготовить товарно-транспортные документы, пропуска на право проезда к месту погрузки и выгрузки грузов и т.п.</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Груз, который был предъявлен 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 В этих случаях грузоотправитель обязан оплатить стоимость пробега автомобиля в обоих направлениях от места подачи автомобиля до места погрузки, а также штраф за простой автомобиля в ожидании погрузки.</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Отдельно предусмотрена законодательством и ответственность за неправильное оформление товарно-транспортных документов.</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Вместе с грузом грузоотправитель обязан передать автотранспортному предприятию сертификаты, ветеринарные свидетельства или другие документы, необходимые для перевозки грузов в соответствии с санитарными и другими правилами.</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Грузоотправитель не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сдаче груза к перевозке грузополучатель имеет право проследить, правильно ли произведена погрузка на автотранспортные средства, учтены ли его пожелания по перевозке грузов (указанные в товарно-транспортных документах).</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Автотранспортное предприятие имеет право отказаться от приема груза к перевозке, если:</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105" w:line="240" w:lineRule="auto"/>
        <w:ind w:left="720"/>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груз предъявлен грузоотправителем в ненадлежащей таре или упаковке;</w:t>
      </w:r>
    </w:p>
    <w:p w:rsidR="009A71BD" w:rsidRPr="009A71BD" w:rsidRDefault="009A71BD" w:rsidP="009A71BD">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предъявленный груз не предусмотрен заявкой или принятым к исполнению разовым заказом, а при междугородных перевозках - с назначением в другой пункт;</w:t>
      </w:r>
    </w:p>
    <w:p w:rsidR="009A71BD" w:rsidRPr="009A71BD" w:rsidRDefault="009A71BD" w:rsidP="009A71BD">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вес предъявляемого груза, перевозка которого должна осуществляться на одном автомобиле, превышает грузоподъемность подвижного состава, поданного под погрузку согласно заказу или заявке;</w:t>
      </w:r>
    </w:p>
    <w:p w:rsidR="009A71BD" w:rsidRPr="009A71BD" w:rsidRDefault="009A71BD" w:rsidP="009A71BD">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груз не может быть доставлен вследствие явлений стихию характера, из-за дорожных или климатических условий, вызвавших временное прекращение или ограничение перевозок грузов по автомобильным дорогам.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отказе от приема предъявленного к перевозке груза в случаях, предусмотренных пунктами "а", "б" и "в", автотранспортное предприятие взыскивает с грузоотправителя стоимость фактического пробег автомобиля в обоих направлениях от места подачи автомобиля до места погрузки в соответствии с тарифами на перевозку грузов автомобильным транспортом.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Грузоотправитель не имеет права предъявлять, а автотранспортное предприятие принимать груз к перевозке в случаях, когда:</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lastRenderedPageBreak/>
        <w:t> </w:t>
      </w:r>
    </w:p>
    <w:p w:rsidR="009A71BD" w:rsidRPr="009A71BD" w:rsidRDefault="009A71BD" w:rsidP="009A71BD">
      <w:pPr>
        <w:spacing w:before="60" w:after="105" w:line="240" w:lineRule="auto"/>
        <w:ind w:left="720"/>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такая перевозка запрещена Уставом автомобильного транспорта (ст. 18);</w:t>
      </w:r>
    </w:p>
    <w:p w:rsidR="009A71BD" w:rsidRPr="009A71BD" w:rsidRDefault="009A71BD" w:rsidP="009A71BD">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грузы товарного характера грузоотправителем не оформлю товарно-транспортными документами.</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Перевозка грузов может производиться автотранспортным приятием как с выполнением транспортно-экспедиционных операций приему, сопровождению и сдаче грузов экспедитором (грузоотправителя, грузополучателя, самого транспортного предприятия), так и без такового.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Однако в отношении некоторых видов грузов экспедиторское сопровождение является обязательным (см. раздел 3).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Если груз перевозится в сопровождении экспедитора грузоотправителя (грузополучателя), последний обязан обеспечить явку экспедитора на место погрузки, груза к моменту прибытия подвижного состава.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Если экспедитор к моменту прибытия подвижного состава опоздал, грузоотправитель (грузополучатель) несет перед автотранспортным предприятием ответственность за простой подвижного состава, предусмотренную договором ст. 141 Устава автомобильного транспорта.</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По истечении одного часа ожидания экспедитора грузоотправителя (грузополучателя) автотранспортное предприятие вправе вернуть подвижной состав в гараж или использовать его на других перевозках. В этом случае перевозка считается несостоявшейся, начисление за простой прекращается и автотранспортное предприятие о ответственности за невыполнение перевозки не несет.</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приеме груза к перевозке водитель-экспедитор предъявляет грузоотправителю служебное удостоверение и путевой лист, заверенные печатью автотранспортного предприятия. Путевой лист дает право на въезд подвижного состава и находящихся в нем лиц, указанных в путевом листе, на территорию грузоотправителя и грузополучателя, если для этого не требуется оформления специального пропуска. В тех случаях, когда для въезда (выезда) автомобиля требуются специальные пропуска, автотранспортные предприятия и грузоотправители (грузополучатели) должны в годовых договорах на перевозку грузов автомобильным транспортом предусмотреть порядок выдачи указанных пропусков, имея в виду предварительную их подготовку, а также другие меры, направленные на рациональное использование подвижного состава.</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Автотранспортные предприятия и грузоотправители (грузополучатели) могут в договорах предусматривать обязанность водителя-экспедитора предъявлять паспорт при получении ценных грузов к перевозке.</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Грузоотправитель (грузополучатель) может предъявлять к перевозке грузы с объявленной ценностью.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Он обязан объявить ценность следующих грузов:</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105" w:line="240" w:lineRule="auto"/>
        <w:ind w:left="720"/>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драгоценных металлов и изделий из них; драгоценных камней, предметов искусства, картин, статуй, художественных изделий, антикварных вещей, ковров, не имеющих прейскурантной цены, опытных машин, оборудования и приборов, на которые не утверждены цены;</w:t>
      </w:r>
    </w:p>
    <w:p w:rsidR="009A71BD" w:rsidRPr="009A71BD" w:rsidRDefault="009A71BD" w:rsidP="009A71B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домашних вещей.</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lastRenderedPageBreak/>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Не допускается объявление ценности грузов, перевозимых навалом, насыпью, наливом, за пломбами грузоотправителей, а также скоропортящихся и опасных грузов. Также не допускается объявление ценности части груза, перевозимого по одной товарно-транспортной накладной.</w:t>
      </w:r>
      <w:r w:rsidRPr="009A71BD">
        <w:rPr>
          <w:rFonts w:ascii="Verdana" w:eastAsia="Times New Roman" w:hAnsi="Verdana" w:cs="Tahoma"/>
          <w:color w:val="000000"/>
          <w:sz w:val="18"/>
          <w:szCs w:val="18"/>
          <w:lang w:eastAsia="ru-RU"/>
        </w:rPr>
        <w:t>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Объявленная ценность не должна превышать действительной стоимости груза. В случае разногласий между автотранспортным предприятием и грузоотправителем (грузополучателем) стоимость груза определяется экспертизой, о чем составляется акт.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При предъявлении к перевозке груза с объявленной ценностью грузоотправитель обязан составить опись грузовых мест в трех экземплярах по установленной форме (приложение к настоящему параграфу), которые передаются автотранспортному предприятию. После проверки описи один экземпляр возвращается грузоотправителю, второй остается в автотранспортном предприятии, а третий вручается грузополучателю при сдаче груза.</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сдаче грузоотправителем и приеме автотранспортным предприятием грузов, перевозимых навалом, насыпью, наливом и в контейнерах, должен быть определен и указан в товарно-транспортной накладной вес этих грузов.</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Тарные и штучные грузы принимаются к перевозке с указанием в товарно-транспортной накладной веса груза и количества грузовых мест. Вес тарных и штучных грузов определяется грузоотправителем до предъявления их к перевозке и указывается на грузовых местах. Общий вес груза определяется взвешиванием на весах или подсчетом веса на грузовых местах по трафарету или стандарту. Для отдельных грузов вес может определяться по соглашению сторон расчетным путем, по обмеру, объемному весу или условно. Запись в товарно-транспортной накладной о весе груза с указанием способа его определения производится грузоотправителем. Определение веса груза производится совместно грузоотправителем и автотранспортным предприятием техническими средствами грузоотправителя.</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перевозке грузов в крытых автомобилях и прицепах, отдельных секциях автомобилей, контейнерах и цистернах, опломбированных грузоотправителем, определение веса груза производится грузоотправителем.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Грузы, имеющие маркированный вес нетто или брутто, перевеске не подлежат.</w:t>
      </w:r>
      <w:r w:rsidRPr="009A71BD">
        <w:rPr>
          <w:rFonts w:ascii="Verdana" w:eastAsia="Times New Roman" w:hAnsi="Verdana" w:cs="Tahoma"/>
          <w:color w:val="000000"/>
          <w:sz w:val="18"/>
          <w:szCs w:val="18"/>
          <w:lang w:eastAsia="ru-RU"/>
        </w:rPr>
        <w:t>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Водитель-экспедитор при отсутствии следов вскрытия тары или упаковки принимает такой груз у грузоотправителя согласно весу, указанному на маркировке. Если предъявляются грузовые места одного стандартного размера в адрес одного грузополучателя, указание веса на каждом грузовом месте необязательно, за исключением случаев, когда государственными стандартами предусмотрено обязательное указание веса брутто и нетто на стандартных местах. В этом случае в накладной в графе "Способ определения веса" проставляется "по стандарту".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Количество грузов нетоварного характера определяется по актам замера или актам взвешивания, составленным грузоотправителем (грузополучателем) совместно с автотранспортным предприятием.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массовых перевозках грунта определение его количества может производиться геодезическим замером. Акт взвешивания составляется на основании контрольного взвешивания 5-10 автомобилей, после чего определяется средний вес груза в одном автомобиле соответствующей марки. При определении количества груза геодезическим замером общий вес груза устанавливается путем умножения объемных показателей геодезического замера на объемный вес груза, определяемый лабораторным методом.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При изменении характера груза или других условий перевозок по требованию автотранспортного предприятия, грузоотправителя или грузополучателя производится новое контрольное взвешивание или определение объемного веса груза.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lastRenderedPageBreak/>
        <w:br/>
        <w:t>Автотранспортное предприятие, грузоотправитель или грузополучатель не вправе отказаться от повторного взвешивания или определения объемного веса груза.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r>
      <w:r w:rsidRPr="009A71BD">
        <w:rPr>
          <w:rFonts w:ascii="Verdana" w:eastAsia="Times New Roman" w:hAnsi="Verdana" w:cs="Tahoma"/>
          <w:b/>
          <w:bCs/>
          <w:color w:val="000000"/>
          <w:sz w:val="18"/>
          <w:szCs w:val="18"/>
          <w:lang w:eastAsia="ru-RU"/>
        </w:rPr>
        <w:t>Автотранспортное предприятие во всех случаях может требовать дополнительной проверки количества или веса перевозимого груза.</w:t>
      </w:r>
      <w:r w:rsidRPr="009A71BD">
        <w:rPr>
          <w:rFonts w:ascii="Verdana" w:eastAsia="Times New Roman" w:hAnsi="Verdana" w:cs="Tahoma"/>
          <w:color w:val="000000"/>
          <w:sz w:val="18"/>
          <w:szCs w:val="18"/>
          <w:lang w:eastAsia="ru-RU"/>
        </w:rPr>
        <w:t> </w:t>
      </w:r>
      <w:r w:rsidRPr="009A71BD">
        <w:rPr>
          <w:rFonts w:ascii="Verdana" w:eastAsia="Times New Roman" w:hAnsi="Verdana" w:cs="Tahoma"/>
          <w:color w:val="000000"/>
          <w:sz w:val="18"/>
          <w:szCs w:val="18"/>
          <w:lang w:eastAsia="ru-RU"/>
        </w:rPr>
        <w:br/>
      </w:r>
      <w:r w:rsidRPr="009A71BD">
        <w:rPr>
          <w:rFonts w:ascii="Verdana" w:eastAsia="Times New Roman" w:hAnsi="Verdana" w:cs="Tahoma"/>
          <w:color w:val="000000"/>
          <w:sz w:val="18"/>
          <w:szCs w:val="18"/>
          <w:lang w:eastAsia="ru-RU"/>
        </w:rPr>
        <w:br/>
        <w:t>Результаты проверки должны быть занесены в товарно-транспортную накладную.</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автотранспортного предприятия привести тару или упаковку в соответствие с требованиями Устава автомобильного транспорта (ст. 52.).</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Правилами дорожного движения.</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Грузоотправитель отвечает за все последствия неправильной внутренней упаковки грузов</w:t>
      </w:r>
      <w:r w:rsidRPr="009A71BD">
        <w:rPr>
          <w:rFonts w:ascii="Verdana" w:eastAsia="Times New Roman" w:hAnsi="Verdana" w:cs="Tahoma"/>
          <w:color w:val="000000"/>
          <w:sz w:val="18"/>
          <w:szCs w:val="18"/>
          <w:lang w:eastAsia="ru-RU"/>
        </w:rPr>
        <w:t>(бой, поломку, деформацию, течь и т.д.), а также за применение тары и упаковки, не соответствующих свойствам груза, его весу или установленным стандартам и техническим условиям.</w:t>
      </w:r>
    </w:p>
    <w:p w:rsidR="009A71BD" w:rsidRPr="009A71BD" w:rsidRDefault="009A71BD" w:rsidP="009A71BD">
      <w:pPr>
        <w:spacing w:before="100" w:beforeAutospacing="1" w:after="0" w:line="240" w:lineRule="auto"/>
        <w:rPr>
          <w:rFonts w:ascii="Tahoma" w:eastAsia="Times New Roman" w:hAnsi="Tahoma" w:cs="Tahoma"/>
          <w:color w:val="000000"/>
          <w:sz w:val="18"/>
          <w:szCs w:val="18"/>
          <w:lang w:eastAsia="ru-RU"/>
        </w:rPr>
      </w:pPr>
      <w:r w:rsidRPr="009A71BD">
        <w:rPr>
          <w:rFonts w:ascii="Verdana" w:eastAsia="Times New Roman" w:hAnsi="Verdana" w:cs="Tahoma"/>
          <w:color w:val="000000"/>
          <w:sz w:val="18"/>
          <w:szCs w:val="18"/>
          <w:lang w:eastAsia="ru-RU"/>
        </w:rPr>
        <w:t> </w:t>
      </w:r>
    </w:p>
    <w:p w:rsidR="009A71BD" w:rsidRPr="009A71BD" w:rsidRDefault="009A71BD" w:rsidP="009A71BD">
      <w:pPr>
        <w:spacing w:before="60" w:after="90" w:line="240" w:lineRule="auto"/>
        <w:rPr>
          <w:rFonts w:ascii="Tahoma" w:eastAsia="Times New Roman" w:hAnsi="Tahoma" w:cs="Tahoma"/>
          <w:color w:val="000000"/>
          <w:sz w:val="18"/>
          <w:szCs w:val="18"/>
          <w:lang w:eastAsia="ru-RU"/>
        </w:rPr>
      </w:pPr>
      <w:r w:rsidRPr="009A71BD">
        <w:rPr>
          <w:rFonts w:ascii="Verdana" w:eastAsia="Times New Roman" w:hAnsi="Verdana" w:cs="Tahoma"/>
          <w:b/>
          <w:bCs/>
          <w:color w:val="000000"/>
          <w:sz w:val="18"/>
          <w:szCs w:val="18"/>
          <w:lang w:eastAsia="ru-RU"/>
        </w:rPr>
        <w:t>Прием к перевозке грузов в части, не предусмотренной Уставом автомобильного транспорта и Общими правилами перевозок грузов автомобильным транспортом, производится в соответствии с правилами перевозок отдельных видов грузов.</w:t>
      </w:r>
    </w:p>
    <w:p w:rsidR="00262FF6" w:rsidRDefault="00262FF6">
      <w:bookmarkStart w:id="0" w:name="_GoBack"/>
      <w:bookmarkEnd w:id="0"/>
    </w:p>
    <w:sectPr w:rsidR="00262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1E3F"/>
    <w:multiLevelType w:val="multilevel"/>
    <w:tmpl w:val="2886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EE5929"/>
    <w:multiLevelType w:val="multilevel"/>
    <w:tmpl w:val="956E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B1BFC"/>
    <w:multiLevelType w:val="multilevel"/>
    <w:tmpl w:val="B8A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332FB7"/>
    <w:multiLevelType w:val="multilevel"/>
    <w:tmpl w:val="668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7"/>
    <w:rsid w:val="00186BD7"/>
    <w:rsid w:val="00262FF6"/>
    <w:rsid w:val="009A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71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71B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A7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71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71B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A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DAZZ</dc:creator>
  <cp:keywords/>
  <dc:description/>
  <cp:lastModifiedBy>DAZZ</cp:lastModifiedBy>
  <cp:revision>3</cp:revision>
  <dcterms:created xsi:type="dcterms:W3CDTF">2016-09-17T06:08:00Z</dcterms:created>
  <dcterms:modified xsi:type="dcterms:W3CDTF">2016-09-17T06:08:00Z</dcterms:modified>
</cp:coreProperties>
</file>